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Insurance Risk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18"/>
        <w:gridCol w:w="3600"/>
        <w:gridCol w:w="3798"/>
        <w:tblGridChange w:id="0">
          <w:tblGrid>
            <w:gridCol w:w="3618"/>
            <w:gridCol w:w="3600"/>
            <w:gridCol w:w="3798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HOLDER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NUMBER: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JOSHUA YULE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12345 MAIN STREET, SUNNYDALE, CALIFORNIA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019876-54445-283827728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PROPERTY: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PROPERTY VALUE: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VALUE: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PERSONAL RESIDENCE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$150,000.00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$200,000.00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ASSESSOR: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ASSESSOR CODE: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MARTHA INSURAME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13579-246810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I, [JOSHUA YULE], hereby swear that all of the information in this assessment form is correct.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638"/>
          <w:tab w:val="left" w:pos="4338"/>
          <w:tab w:val="left" w:pos="5328"/>
        </w:tabs>
        <w:rPr/>
      </w:pPr>
      <w:r w:rsidDel="00000000" w:rsidR="00000000" w:rsidRPr="00000000">
        <w:rPr>
          <w:rtl w:val="0"/>
        </w:rPr>
        <w:t xml:space="preserve">SIGNATURE: ________________________ DATE: [___________]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68"/>
        <w:gridCol w:w="2250"/>
        <w:gridCol w:w="4698"/>
        <w:tblGridChange w:id="0">
          <w:tblGrid>
            <w:gridCol w:w="4068"/>
            <w:gridCol w:w="2250"/>
            <w:gridCol w:w="4698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HAZARD NOTED BY ASSESSOR: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RISK CLASS: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CONTROLS: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FIRE HAZARD, STOVE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INSTALLATION OF NEW RANGE HOOD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HAZARD NOTED BY ASSESSOR: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RISK CLASS: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CONTROLS: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FLOODING, BASEMENT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MEASURES TAKEN BY POLICY HOLDER AS LISTED BELOW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HAZARD NOTED BY ASSESSOR: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RISK CLASS: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CONTROLS: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ELECTRICAL HAZARDS THROUGHOUT THE 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POLICY HOLDER IS HIRING AN ELECTRICAL CONTRACTOR TO ASSESS.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HAZARD NOTED BY ASSESSOR: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RISK CLASS: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CONTROLS: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Style w:val="Heading2"/>
        <w:spacing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98"/>
        <w:gridCol w:w="3420"/>
        <w:gridCol w:w="3798"/>
        <w:tblGridChange w:id="0">
          <w:tblGrid>
            <w:gridCol w:w="3798"/>
            <w:gridCol w:w="3420"/>
            <w:gridCol w:w="3798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IMPACT AS NOTED BY ASSESSOR: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The policy holder is currently aware of all of the risks within the residence.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The policy holder is 100% compliant with all of the necessary requirements for upgrading.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With the below-mentioned improvements, the policy can be upgraded to $250,000.00 coverage.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The policy holder has hired professional contractors to update his home to bring it to current code standard.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The policy holder will pay for the upgrades from his own personal accounts.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The following is a list of risk management controls applied to the above-mentioned property by [JOSHUA YULE]: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2"/>
        <w:gridCol w:w="3672"/>
        <w:gridCol w:w="3672"/>
        <w:tblGridChange w:id="0">
          <w:tblGrid>
            <w:gridCol w:w="3672"/>
            <w:gridCol w:w="3672"/>
            <w:gridCol w:w="3672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INSTALLED: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UPGRADES: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INSTALLATION OF NEW RANGE HOOD FOR STOVE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WITHIN FIVE MONTHS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PERCENTAGE OF DEDUCTABLE LOWERED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INSTALLED: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UPGRADES: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RENOVATION OF BASEMENT WINDOWS AND WALLS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WITHIN FIVE MONTHS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PERCENTAGE OF DEDUCTABLE LOWERED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INSTALLED: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UPGRADES: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HIRING ELECTRICAL CONTRACTOR FOR WIRING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WITHIN FIVE MONTHS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PERCENTAGE OF DEDUCTABLE LOWERED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INSTALLED: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UPGRADES: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78"/>
        <w:gridCol w:w="4050"/>
        <w:gridCol w:w="259"/>
        <w:gridCol w:w="911"/>
        <w:gridCol w:w="1818"/>
        <w:tblGridChange w:id="0">
          <w:tblGrid>
            <w:gridCol w:w="3978"/>
            <w:gridCol w:w="4050"/>
            <w:gridCol w:w="259"/>
            <w:gridCol w:w="911"/>
            <w:gridCol w:w="1818"/>
          </w:tblGrid>
        </w:tblGridChange>
      </w:tblGrid>
      <w:tr>
        <w:trPr>
          <w:trHeight w:val="860" w:hRule="atLeast"/>
        </w:trPr>
        <w:tc>
          <w:tcPr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SIGNATURE OF ASSESSOR: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SIGNATURE OF POLICY HOLDER: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